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7828A" w14:textId="49E7BCD0" w:rsidR="00F56FB0" w:rsidRPr="00DC028A" w:rsidRDefault="00F56FB0" w:rsidP="00384780">
      <w:pPr>
        <w:ind w:firstLine="357"/>
        <w:jc w:val="right"/>
        <w:rPr>
          <w:rFonts w:ascii="Verdana" w:hAnsi="Verdana"/>
          <w:i/>
          <w:sz w:val="20"/>
          <w:szCs w:val="20"/>
          <w:lang w:val="en-US"/>
        </w:rPr>
      </w:pPr>
      <w:bookmarkStart w:id="0" w:name="_GoBack"/>
      <w:bookmarkEnd w:id="0"/>
      <w:r w:rsidRPr="00F56FB0">
        <w:rPr>
          <w:rFonts w:ascii="Verdana" w:hAnsi="Verdana"/>
          <w:i/>
          <w:sz w:val="20"/>
          <w:szCs w:val="20"/>
        </w:rPr>
        <w:t xml:space="preserve">Приложение № </w:t>
      </w:r>
      <w:r w:rsidR="00DC028A">
        <w:rPr>
          <w:rFonts w:ascii="Verdana" w:hAnsi="Verdana"/>
          <w:i/>
          <w:sz w:val="20"/>
          <w:szCs w:val="20"/>
        </w:rPr>
        <w:t>1</w:t>
      </w:r>
      <w:r w:rsidR="000245EC">
        <w:rPr>
          <w:rFonts w:ascii="Verdana" w:hAnsi="Verdana"/>
          <w:i/>
          <w:sz w:val="20"/>
          <w:szCs w:val="20"/>
        </w:rPr>
        <w:t>2</w:t>
      </w:r>
    </w:p>
    <w:p w14:paraId="6147FF00" w14:textId="611379F7" w:rsidR="00F56FB0" w:rsidRPr="00F56FB0" w:rsidRDefault="00F56FB0" w:rsidP="00384780">
      <w:pPr>
        <w:ind w:firstLine="357"/>
        <w:jc w:val="right"/>
        <w:rPr>
          <w:rFonts w:ascii="Verdana" w:hAnsi="Verdana"/>
          <w:i/>
          <w:sz w:val="20"/>
          <w:szCs w:val="20"/>
        </w:rPr>
      </w:pPr>
    </w:p>
    <w:p w14:paraId="0677CEA1" w14:textId="77777777" w:rsidR="005C521D" w:rsidRPr="00942F19" w:rsidRDefault="005C521D" w:rsidP="005C521D">
      <w:pPr>
        <w:spacing w:line="360" w:lineRule="auto"/>
        <w:ind w:firstLine="360"/>
        <w:jc w:val="center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ЛИСТ ЗА ПРОВЕРКА</w:t>
      </w:r>
    </w:p>
    <w:p w14:paraId="3D3EB5CE" w14:textId="77777777" w:rsidR="005C521D" w:rsidRPr="00942F19" w:rsidRDefault="005C521D" w:rsidP="005C521D">
      <w:pPr>
        <w:ind w:firstLine="357"/>
        <w:jc w:val="center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за осигуряване на безопасни и здравословни условия на труд, изправност на техниката и спазване на изискванията за изпълнение на горскостопански дейности</w:t>
      </w:r>
    </w:p>
    <w:p w14:paraId="29D165F8" w14:textId="77777777" w:rsidR="005C521D" w:rsidRPr="00942F19" w:rsidRDefault="005C521D" w:rsidP="005C521D">
      <w:pPr>
        <w:ind w:firstLine="357"/>
        <w:jc w:val="center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i/>
          <w:sz w:val="20"/>
          <w:szCs w:val="20"/>
          <w:lang w:val="ru-RU"/>
        </w:rPr>
        <w:t>(попълва се при сключен договор)</w:t>
      </w:r>
    </w:p>
    <w:p w14:paraId="6141B588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30DE0576" w14:textId="77777777" w:rsidR="005C521D" w:rsidRPr="00942F19" w:rsidRDefault="005C521D" w:rsidP="005C521D">
      <w:pPr>
        <w:spacing w:line="276" w:lineRule="auto"/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Днес, …………………., във връзка с извършване на горскостопански дейности съгласно договор ………………………, се проведе проверка на ползването на лични</w:t>
      </w:r>
      <w:r w:rsidRPr="00942F19">
        <w:rPr>
          <w:rFonts w:ascii="Verdana" w:hAnsi="Verdana"/>
          <w:b/>
          <w:sz w:val="20"/>
          <w:szCs w:val="20"/>
        </w:rPr>
        <w:t xml:space="preserve"> </w:t>
      </w:r>
      <w:r w:rsidRPr="00942F19">
        <w:rPr>
          <w:rFonts w:ascii="Verdana" w:hAnsi="Verdana"/>
          <w:sz w:val="20"/>
          <w:szCs w:val="20"/>
        </w:rPr>
        <w:t>предпазни средства и подходящо работно облекло от горските работници, изправността на техниката и изпълнението на мерките за безопасна работа в горите в отдел …………, в който работи екип от горски работници на фирма …………………………………….. .</w:t>
      </w:r>
    </w:p>
    <w:p w14:paraId="50845EA7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012FFDE5" w14:textId="77777777" w:rsidR="005C521D" w:rsidRPr="00942F19" w:rsidRDefault="005C521D" w:rsidP="005C521D">
      <w:pPr>
        <w:numPr>
          <w:ilvl w:val="0"/>
          <w:numId w:val="11"/>
        </w:numPr>
        <w:spacing w:after="120"/>
        <w:ind w:left="714" w:hanging="357"/>
        <w:contextualSpacing/>
        <w:jc w:val="both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Документи за правоспособност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7"/>
        <w:gridCol w:w="492"/>
        <w:gridCol w:w="503"/>
        <w:gridCol w:w="830"/>
      </w:tblGrid>
      <w:tr w:rsidR="005C521D" w:rsidRPr="00942F19" w14:paraId="433DE34C" w14:textId="77777777" w:rsidTr="005406F7">
        <w:tc>
          <w:tcPr>
            <w:tcW w:w="4151" w:type="pct"/>
            <w:shd w:val="clear" w:color="auto" w:fill="auto"/>
          </w:tcPr>
          <w:p w14:paraId="292BE9C6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Лицата в обекта съответстват ли на тези, за които е издадено разрешително за достъп 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4B41186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5B10F05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14:paraId="33E0698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C521D" w:rsidRPr="00942F19" w14:paraId="3C556EB2" w14:textId="77777777" w:rsidTr="005406F7">
        <w:tc>
          <w:tcPr>
            <w:tcW w:w="4151" w:type="pct"/>
            <w:shd w:val="clear" w:color="auto" w:fill="auto"/>
          </w:tcPr>
          <w:p w14:paraId="3845A05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Операторите на моторен трион носят притежаваното свидетелство за правоспособност.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226141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9DE477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14:paraId="0F68A38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3362A96B" w14:textId="77777777" w:rsidTr="005406F7">
        <w:tc>
          <w:tcPr>
            <w:tcW w:w="4151" w:type="pct"/>
            <w:shd w:val="clear" w:color="auto" w:fill="auto"/>
          </w:tcPr>
          <w:p w14:paraId="34846C8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Операторите на трактори и друга специализирана техника носят притежаваното свидетелство за правоспособност за съответното техническо средство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744EE1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0A6E707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14:paraId="49DCB6E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1A259668" w14:textId="77777777" w:rsidTr="005406F7">
        <w:tc>
          <w:tcPr>
            <w:tcW w:w="4151" w:type="pct"/>
            <w:shd w:val="clear" w:color="auto" w:fill="auto"/>
          </w:tcPr>
          <w:p w14:paraId="6B0A495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Тракторите и другата специализирана горска техника са с валиден регистрационен талон от КТИ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4AD1FF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00AF525F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14:paraId="60F7B69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2A575EEB" w14:textId="77777777" w:rsidTr="005406F7">
        <w:tc>
          <w:tcPr>
            <w:tcW w:w="5000" w:type="pct"/>
            <w:gridSpan w:val="4"/>
            <w:shd w:val="clear" w:color="auto" w:fill="auto"/>
          </w:tcPr>
          <w:p w14:paraId="2F07CBE7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Забележка: </w:t>
            </w:r>
          </w:p>
          <w:p w14:paraId="592638A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4E11C75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7B0DB275" w14:textId="77777777" w:rsidR="005C521D" w:rsidRPr="00942F19" w:rsidRDefault="005C521D" w:rsidP="005C521D">
      <w:pPr>
        <w:numPr>
          <w:ilvl w:val="0"/>
          <w:numId w:val="11"/>
        </w:numPr>
        <w:spacing w:after="120"/>
        <w:ind w:left="714" w:hanging="357"/>
        <w:contextualSpacing/>
        <w:jc w:val="both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Лични предпазни средства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1"/>
        <w:gridCol w:w="814"/>
        <w:gridCol w:w="823"/>
        <w:gridCol w:w="3487"/>
        <w:gridCol w:w="832"/>
        <w:gridCol w:w="805"/>
      </w:tblGrid>
      <w:tr w:rsidR="005C521D" w:rsidRPr="00942F19" w14:paraId="2FB893F4" w14:textId="77777777" w:rsidTr="005406F7">
        <w:tc>
          <w:tcPr>
            <w:tcW w:w="1862" w:type="pct"/>
          </w:tcPr>
          <w:p w14:paraId="57841961" w14:textId="77777777" w:rsidR="005C521D" w:rsidRPr="00942F19" w:rsidRDefault="005C521D" w:rsidP="005406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42F19">
              <w:rPr>
                <w:rFonts w:ascii="Verdana" w:hAnsi="Verdana"/>
                <w:b/>
                <w:sz w:val="20"/>
                <w:szCs w:val="20"/>
              </w:rPr>
              <w:t>Оператор на моторен трион</w:t>
            </w:r>
          </w:p>
        </w:tc>
        <w:tc>
          <w:tcPr>
            <w:tcW w:w="761" w:type="pct"/>
            <w:gridSpan w:val="2"/>
          </w:tcPr>
          <w:p w14:paraId="01CE8738" w14:textId="77777777" w:rsidR="005C521D" w:rsidRPr="00942F19" w:rsidRDefault="005C521D" w:rsidP="005406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неприложимо</w:t>
            </w:r>
          </w:p>
        </w:tc>
        <w:tc>
          <w:tcPr>
            <w:tcW w:w="1633" w:type="pct"/>
          </w:tcPr>
          <w:p w14:paraId="6B260ED0" w14:textId="77777777" w:rsidR="005C521D" w:rsidRPr="00942F19" w:rsidRDefault="005C521D" w:rsidP="005406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42F19">
              <w:rPr>
                <w:rFonts w:ascii="Verdana" w:hAnsi="Verdana"/>
                <w:b/>
                <w:sz w:val="20"/>
                <w:szCs w:val="20"/>
              </w:rPr>
              <w:t>Тракторист</w:t>
            </w:r>
          </w:p>
        </w:tc>
        <w:tc>
          <w:tcPr>
            <w:tcW w:w="744" w:type="pct"/>
            <w:gridSpan w:val="2"/>
          </w:tcPr>
          <w:p w14:paraId="2E13267F" w14:textId="77777777" w:rsidR="005C521D" w:rsidRPr="00942F19" w:rsidRDefault="005C521D" w:rsidP="005406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неприложимо</w:t>
            </w:r>
          </w:p>
        </w:tc>
      </w:tr>
      <w:tr w:rsidR="005C521D" w:rsidRPr="00942F19" w14:paraId="0EC48B91" w14:textId="77777777" w:rsidTr="005406F7">
        <w:trPr>
          <w:trHeight w:val="432"/>
        </w:trPr>
        <w:tc>
          <w:tcPr>
            <w:tcW w:w="1862" w:type="pct"/>
          </w:tcPr>
          <w:p w14:paraId="5710CBD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предпазни ботуши със защитена предница и бомбе</w:t>
            </w:r>
          </w:p>
        </w:tc>
        <w:tc>
          <w:tcPr>
            <w:tcW w:w="378" w:type="pct"/>
            <w:vAlign w:val="center"/>
          </w:tcPr>
          <w:p w14:paraId="3A69970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7FD4CFA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222EEBC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предпазни ботуши/ обувки с бомбе</w:t>
            </w:r>
          </w:p>
        </w:tc>
        <w:tc>
          <w:tcPr>
            <w:tcW w:w="378" w:type="pct"/>
            <w:vAlign w:val="center"/>
          </w:tcPr>
          <w:p w14:paraId="7D18B88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14:paraId="386B7DC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7E7AA244" w14:textId="77777777" w:rsidTr="005406F7">
        <w:trPr>
          <w:trHeight w:val="318"/>
        </w:trPr>
        <w:tc>
          <w:tcPr>
            <w:tcW w:w="1862" w:type="pct"/>
          </w:tcPr>
          <w:p w14:paraId="252AF87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предпазни панталони (или гамаши)</w:t>
            </w:r>
          </w:p>
        </w:tc>
        <w:tc>
          <w:tcPr>
            <w:tcW w:w="378" w:type="pct"/>
            <w:vAlign w:val="center"/>
          </w:tcPr>
          <w:p w14:paraId="7C8ACF4F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744000F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5672A3F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плътно прилепнали дрехи</w:t>
            </w:r>
          </w:p>
        </w:tc>
        <w:tc>
          <w:tcPr>
            <w:tcW w:w="378" w:type="pct"/>
            <w:vAlign w:val="center"/>
          </w:tcPr>
          <w:p w14:paraId="0709A556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14:paraId="18187CD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609BA059" w14:textId="77777777" w:rsidTr="005406F7">
        <w:trPr>
          <w:trHeight w:val="432"/>
        </w:trPr>
        <w:tc>
          <w:tcPr>
            <w:tcW w:w="1862" w:type="pct"/>
          </w:tcPr>
          <w:p w14:paraId="41AFFA3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плътно прилепнали дрехи съобразени с климатичните условия</w:t>
            </w:r>
          </w:p>
        </w:tc>
        <w:tc>
          <w:tcPr>
            <w:tcW w:w="378" w:type="pct"/>
            <w:vAlign w:val="center"/>
          </w:tcPr>
          <w:p w14:paraId="171E34C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7CDC276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24E0D4E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ръкавици (при работа с лебедката/ теглича)</w:t>
            </w:r>
          </w:p>
        </w:tc>
        <w:tc>
          <w:tcPr>
            <w:tcW w:w="378" w:type="pct"/>
            <w:vAlign w:val="center"/>
          </w:tcPr>
          <w:p w14:paraId="6054F2E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14:paraId="35F7058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6CD7EE61" w14:textId="77777777" w:rsidTr="005406F7">
        <w:trPr>
          <w:trHeight w:val="432"/>
        </w:trPr>
        <w:tc>
          <w:tcPr>
            <w:tcW w:w="1862" w:type="pct"/>
          </w:tcPr>
          <w:p w14:paraId="4D6358CA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ръкавици (от устойчив на срез материал)</w:t>
            </w:r>
          </w:p>
        </w:tc>
        <w:tc>
          <w:tcPr>
            <w:tcW w:w="378" w:type="pct"/>
            <w:vAlign w:val="center"/>
          </w:tcPr>
          <w:p w14:paraId="77520AC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21748CD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0F4C33C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каска</w:t>
            </w:r>
          </w:p>
        </w:tc>
        <w:tc>
          <w:tcPr>
            <w:tcW w:w="378" w:type="pct"/>
            <w:vAlign w:val="center"/>
          </w:tcPr>
          <w:p w14:paraId="796B360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14:paraId="21058BF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72335A09" w14:textId="77777777" w:rsidTr="005406F7">
        <w:trPr>
          <w:trHeight w:val="324"/>
        </w:trPr>
        <w:tc>
          <w:tcPr>
            <w:tcW w:w="1862" w:type="pct"/>
          </w:tcPr>
          <w:p w14:paraId="32E0E30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каска с лицев щит</w:t>
            </w:r>
          </w:p>
        </w:tc>
        <w:tc>
          <w:tcPr>
            <w:tcW w:w="378" w:type="pct"/>
            <w:vAlign w:val="center"/>
          </w:tcPr>
          <w:p w14:paraId="7872F4B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6D23C50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104AC41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антифони</w:t>
            </w:r>
          </w:p>
        </w:tc>
        <w:tc>
          <w:tcPr>
            <w:tcW w:w="378" w:type="pct"/>
            <w:vAlign w:val="center"/>
          </w:tcPr>
          <w:p w14:paraId="1F5237E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14:paraId="303812B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0A3684B1" w14:textId="77777777" w:rsidTr="005406F7">
        <w:trPr>
          <w:trHeight w:val="302"/>
        </w:trPr>
        <w:tc>
          <w:tcPr>
            <w:tcW w:w="1862" w:type="pct"/>
          </w:tcPr>
          <w:p w14:paraId="3711FDC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антифони</w:t>
            </w:r>
          </w:p>
        </w:tc>
        <w:tc>
          <w:tcPr>
            <w:tcW w:w="378" w:type="pct"/>
            <w:vAlign w:val="center"/>
          </w:tcPr>
          <w:p w14:paraId="4840EA4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7D6931E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47ABA7D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1F53670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14:paraId="5DA47C0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34DFCFEA" w14:textId="77777777" w:rsidTr="005406F7">
        <w:trPr>
          <w:trHeight w:val="280"/>
        </w:trPr>
        <w:tc>
          <w:tcPr>
            <w:tcW w:w="1862" w:type="pct"/>
          </w:tcPr>
          <w:p w14:paraId="688D289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0A5BA5E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78F7DEA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5825FA7F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8" w:type="pct"/>
          </w:tcPr>
          <w:p w14:paraId="4407B2C7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6" w:type="pct"/>
          </w:tcPr>
          <w:p w14:paraId="7662518F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C521D" w:rsidRPr="00942F19" w14:paraId="2BC21F84" w14:textId="77777777" w:rsidTr="005406F7">
        <w:trPr>
          <w:trHeight w:val="338"/>
        </w:trPr>
        <w:tc>
          <w:tcPr>
            <w:tcW w:w="1862" w:type="pct"/>
          </w:tcPr>
          <w:p w14:paraId="09380C51" w14:textId="77777777" w:rsidR="005C521D" w:rsidRPr="00942F19" w:rsidRDefault="005C521D" w:rsidP="005406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42F19">
              <w:rPr>
                <w:rFonts w:ascii="Verdana" w:hAnsi="Verdana"/>
                <w:b/>
                <w:sz w:val="20"/>
                <w:szCs w:val="20"/>
              </w:rPr>
              <w:t>Общ работник/ извозвач с коне</w:t>
            </w:r>
          </w:p>
        </w:tc>
        <w:tc>
          <w:tcPr>
            <w:tcW w:w="761" w:type="pct"/>
            <w:gridSpan w:val="2"/>
          </w:tcPr>
          <w:p w14:paraId="463D3DC4" w14:textId="77777777" w:rsidR="005C521D" w:rsidRPr="00942F19" w:rsidRDefault="005C521D" w:rsidP="005406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неприложимо</w:t>
            </w:r>
          </w:p>
        </w:tc>
        <w:tc>
          <w:tcPr>
            <w:tcW w:w="1633" w:type="pct"/>
          </w:tcPr>
          <w:p w14:paraId="367766D7" w14:textId="77777777" w:rsidR="005C521D" w:rsidRPr="00942F19" w:rsidRDefault="005C521D" w:rsidP="005406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42F19">
              <w:rPr>
                <w:rFonts w:ascii="Verdana" w:hAnsi="Verdana"/>
                <w:b/>
                <w:sz w:val="20"/>
                <w:szCs w:val="20"/>
              </w:rPr>
              <w:t>Залесител</w:t>
            </w:r>
          </w:p>
        </w:tc>
        <w:tc>
          <w:tcPr>
            <w:tcW w:w="744" w:type="pct"/>
            <w:gridSpan w:val="2"/>
          </w:tcPr>
          <w:p w14:paraId="1DB10965" w14:textId="77777777" w:rsidR="005C521D" w:rsidRPr="00942F19" w:rsidRDefault="005C521D" w:rsidP="005406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неприложимо</w:t>
            </w:r>
          </w:p>
        </w:tc>
      </w:tr>
      <w:tr w:rsidR="005C521D" w:rsidRPr="00942F19" w14:paraId="3F95243C" w14:textId="77777777" w:rsidTr="005406F7">
        <w:trPr>
          <w:trHeight w:val="356"/>
        </w:trPr>
        <w:tc>
          <w:tcPr>
            <w:tcW w:w="1862" w:type="pct"/>
          </w:tcPr>
          <w:p w14:paraId="513FCAC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каска</w:t>
            </w:r>
          </w:p>
        </w:tc>
        <w:tc>
          <w:tcPr>
            <w:tcW w:w="378" w:type="pct"/>
            <w:vAlign w:val="center"/>
          </w:tcPr>
          <w:p w14:paraId="17539E4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7DEC873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760B953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стабилизирани обувки / ботуши</w:t>
            </w:r>
          </w:p>
        </w:tc>
        <w:tc>
          <w:tcPr>
            <w:tcW w:w="378" w:type="pct"/>
            <w:vAlign w:val="center"/>
          </w:tcPr>
          <w:p w14:paraId="3567D876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14:paraId="6BE8085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6A7F5D81" w14:textId="77777777" w:rsidTr="005406F7">
        <w:trPr>
          <w:trHeight w:val="432"/>
        </w:trPr>
        <w:tc>
          <w:tcPr>
            <w:tcW w:w="1862" w:type="pct"/>
          </w:tcPr>
          <w:p w14:paraId="579BECD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обувки с метално бомбе</w:t>
            </w:r>
          </w:p>
        </w:tc>
        <w:tc>
          <w:tcPr>
            <w:tcW w:w="378" w:type="pct"/>
            <w:vAlign w:val="center"/>
          </w:tcPr>
          <w:p w14:paraId="13D99BD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1E3B851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6C6E3107" w14:textId="77777777" w:rsidR="005C521D" w:rsidRPr="00942F19" w:rsidRDefault="005C521D" w:rsidP="005406F7">
            <w:pPr>
              <w:tabs>
                <w:tab w:val="center" w:pos="1409"/>
              </w:tabs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ръкавици (при работа с бодливи растения или третирани с химикали)</w:t>
            </w:r>
          </w:p>
        </w:tc>
        <w:tc>
          <w:tcPr>
            <w:tcW w:w="378" w:type="pct"/>
            <w:vAlign w:val="center"/>
          </w:tcPr>
          <w:p w14:paraId="5A5BB9A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14:paraId="0BEEFD7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0928CCEA" w14:textId="77777777" w:rsidTr="005406F7">
        <w:trPr>
          <w:trHeight w:val="368"/>
        </w:trPr>
        <w:tc>
          <w:tcPr>
            <w:tcW w:w="1862" w:type="pct"/>
          </w:tcPr>
          <w:p w14:paraId="33330770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ръкавици</w:t>
            </w:r>
          </w:p>
        </w:tc>
        <w:tc>
          <w:tcPr>
            <w:tcW w:w="378" w:type="pct"/>
            <w:vAlign w:val="center"/>
          </w:tcPr>
          <w:p w14:paraId="47B12AE7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72C7CA3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75A67CB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антифони (при механиз. садене)</w:t>
            </w:r>
          </w:p>
        </w:tc>
        <w:tc>
          <w:tcPr>
            <w:tcW w:w="378" w:type="pct"/>
            <w:vAlign w:val="center"/>
          </w:tcPr>
          <w:p w14:paraId="0F0AA04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14:paraId="25B418D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6D7426B7" w14:textId="77777777" w:rsidTr="005406F7">
        <w:trPr>
          <w:trHeight w:val="274"/>
        </w:trPr>
        <w:tc>
          <w:tcPr>
            <w:tcW w:w="1862" w:type="pct"/>
          </w:tcPr>
          <w:p w14:paraId="7D49EF5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186EED1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14:paraId="728B409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1633" w:type="pct"/>
          </w:tcPr>
          <w:p w14:paraId="6339862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30DD0B2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14:paraId="2B01570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0320FD1F" w14:textId="77777777" w:rsidTr="005406F7">
        <w:trPr>
          <w:trHeight w:val="432"/>
        </w:trPr>
        <w:tc>
          <w:tcPr>
            <w:tcW w:w="5000" w:type="pct"/>
            <w:gridSpan w:val="6"/>
          </w:tcPr>
          <w:p w14:paraId="1BFE3AC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Забележка:</w:t>
            </w:r>
          </w:p>
        </w:tc>
      </w:tr>
    </w:tbl>
    <w:p w14:paraId="239B3D2B" w14:textId="77777777" w:rsidR="005C521D" w:rsidRPr="00942F19" w:rsidRDefault="005C521D" w:rsidP="005C521D">
      <w:pPr>
        <w:spacing w:after="120"/>
        <w:ind w:left="714"/>
        <w:contextualSpacing/>
        <w:rPr>
          <w:rFonts w:ascii="Verdana" w:hAnsi="Verdana"/>
          <w:b/>
          <w:sz w:val="20"/>
          <w:szCs w:val="20"/>
        </w:rPr>
      </w:pPr>
    </w:p>
    <w:p w14:paraId="1586693A" w14:textId="77777777" w:rsidR="005C521D" w:rsidRPr="00942F19" w:rsidRDefault="005C521D" w:rsidP="005C521D">
      <w:pPr>
        <w:numPr>
          <w:ilvl w:val="0"/>
          <w:numId w:val="11"/>
        </w:numPr>
        <w:spacing w:after="120"/>
        <w:ind w:left="714" w:hanging="357"/>
        <w:contextualSpacing/>
        <w:jc w:val="both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Изправност на техниката и оборудването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7"/>
        <w:gridCol w:w="591"/>
        <w:gridCol w:w="692"/>
        <w:gridCol w:w="4548"/>
        <w:gridCol w:w="527"/>
        <w:gridCol w:w="527"/>
      </w:tblGrid>
      <w:tr w:rsidR="005C521D" w:rsidRPr="00942F19" w14:paraId="189B8839" w14:textId="77777777" w:rsidTr="005406F7">
        <w:tc>
          <w:tcPr>
            <w:tcW w:w="5000" w:type="pct"/>
            <w:gridSpan w:val="6"/>
            <w:shd w:val="clear" w:color="auto" w:fill="auto"/>
          </w:tcPr>
          <w:p w14:paraId="607F8EF0" w14:textId="77777777" w:rsidR="005C521D" w:rsidRPr="00942F19" w:rsidRDefault="005C521D" w:rsidP="005406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42F19">
              <w:rPr>
                <w:rFonts w:ascii="Verdana" w:hAnsi="Verdana"/>
                <w:b/>
                <w:sz w:val="20"/>
                <w:szCs w:val="20"/>
              </w:rPr>
              <w:t xml:space="preserve">Моторни триони </w:t>
            </w:r>
          </w:p>
        </w:tc>
      </w:tr>
      <w:tr w:rsidR="005C521D" w:rsidRPr="00942F19" w14:paraId="5A1B06EA" w14:textId="77777777" w:rsidTr="005406F7">
        <w:tc>
          <w:tcPr>
            <w:tcW w:w="1798" w:type="pct"/>
            <w:shd w:val="clear" w:color="auto" w:fill="auto"/>
          </w:tcPr>
          <w:p w14:paraId="21C5AFE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действаща спирачка на веригата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7FAD9EF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2D878090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425BECE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изправен блокировъчен ключ на газта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5B9B420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6E414C5A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003AD4E3" w14:textId="77777777" w:rsidTr="005406F7">
        <w:tc>
          <w:tcPr>
            <w:tcW w:w="1798" w:type="pct"/>
            <w:shd w:val="clear" w:color="auto" w:fill="auto"/>
          </w:tcPr>
          <w:p w14:paraId="59E52057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уловител на веригата 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616819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6875A15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03BA941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калъф на веригата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27D107C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1923748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6E034E0F" w14:textId="77777777" w:rsidTr="005406F7">
        <w:tc>
          <w:tcPr>
            <w:tcW w:w="1798" w:type="pct"/>
            <w:shd w:val="clear" w:color="auto" w:fill="auto"/>
          </w:tcPr>
          <w:p w14:paraId="6C05BA8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lastRenderedPageBreak/>
              <w:t>антивибрационно окачване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2D140AF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20AB3CA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6442027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спец.туба за горивна смес и масло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53668E57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206F6F0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35C21ECB" w14:textId="77777777" w:rsidTr="005406F7">
        <w:tc>
          <w:tcPr>
            <w:tcW w:w="5000" w:type="pct"/>
            <w:gridSpan w:val="6"/>
            <w:shd w:val="clear" w:color="auto" w:fill="auto"/>
          </w:tcPr>
          <w:p w14:paraId="0FD69295" w14:textId="77777777" w:rsidR="005C521D" w:rsidRPr="00942F19" w:rsidRDefault="005C521D" w:rsidP="005406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42F19">
              <w:rPr>
                <w:rFonts w:ascii="Verdana" w:hAnsi="Verdana"/>
                <w:b/>
                <w:sz w:val="20"/>
                <w:szCs w:val="20"/>
              </w:rPr>
              <w:t>Горски трактори</w:t>
            </w:r>
          </w:p>
        </w:tc>
      </w:tr>
      <w:tr w:rsidR="005C521D" w:rsidRPr="00942F19" w14:paraId="68322DF4" w14:textId="77777777" w:rsidTr="005406F7">
        <w:tc>
          <w:tcPr>
            <w:tcW w:w="1798" w:type="pct"/>
            <w:shd w:val="clear" w:color="auto" w:fill="auto"/>
          </w:tcPr>
          <w:p w14:paraId="73242237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метална рама около цялата кабина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C419B5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BF0CF6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3050FC0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мрежа/решетка на задното стъкло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2DE27EE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652C1BC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7C020678" w14:textId="77777777" w:rsidTr="005406F7">
        <w:tc>
          <w:tcPr>
            <w:tcW w:w="1798" w:type="pct"/>
            <w:shd w:val="clear" w:color="auto" w:fill="auto"/>
          </w:tcPr>
          <w:p w14:paraId="6819DE3A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работеща звукова сигнализация 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36F4930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F57826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7B32FD6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Изправност на лебедката (ненарушена цялост на стоманеното въже, изправност на нареждача за въжето и др. елементи свързани с безопасността)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6E2FB9D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да 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37F98F7A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</w:tr>
      <w:tr w:rsidR="005C521D" w:rsidRPr="00942F19" w14:paraId="3923057A" w14:textId="77777777" w:rsidTr="005406F7">
        <w:tc>
          <w:tcPr>
            <w:tcW w:w="5000" w:type="pct"/>
            <w:gridSpan w:val="6"/>
            <w:shd w:val="clear" w:color="auto" w:fill="auto"/>
          </w:tcPr>
          <w:p w14:paraId="74BF30E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Забележка:</w:t>
            </w:r>
          </w:p>
          <w:p w14:paraId="65C45CA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95E381" w14:textId="77777777" w:rsidR="005C521D" w:rsidRPr="00942F19" w:rsidRDefault="005C521D" w:rsidP="005C521D">
      <w:pPr>
        <w:spacing w:after="120"/>
        <w:rPr>
          <w:rFonts w:ascii="Verdana" w:hAnsi="Verdana"/>
          <w:b/>
          <w:sz w:val="20"/>
          <w:szCs w:val="20"/>
        </w:rPr>
      </w:pPr>
    </w:p>
    <w:p w14:paraId="04457899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783049EA" w14:textId="77777777" w:rsidR="005C521D" w:rsidRPr="00942F19" w:rsidRDefault="005C521D" w:rsidP="005C521D">
      <w:pPr>
        <w:numPr>
          <w:ilvl w:val="0"/>
          <w:numId w:val="11"/>
        </w:numPr>
        <w:spacing w:after="120"/>
        <w:ind w:left="714" w:hanging="357"/>
        <w:contextualSpacing/>
        <w:jc w:val="both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Общи изисквания за условия на труд и предпазване от замърсяване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2"/>
        <w:gridCol w:w="728"/>
        <w:gridCol w:w="704"/>
        <w:gridCol w:w="788"/>
      </w:tblGrid>
      <w:tr w:rsidR="005C521D" w:rsidRPr="00942F19" w14:paraId="368D5416" w14:textId="77777777" w:rsidTr="005406F7">
        <w:trPr>
          <w:trHeight w:val="432"/>
        </w:trPr>
        <w:tc>
          <w:tcPr>
            <w:tcW w:w="3978" w:type="pct"/>
          </w:tcPr>
          <w:p w14:paraId="6F90890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Поставени предупредителни табели “ВНИМАНИЕ ВОДИ СЕ СЕЧ” на основните входове и изходи за достъп към сечището.</w:t>
            </w:r>
          </w:p>
        </w:tc>
        <w:tc>
          <w:tcPr>
            <w:tcW w:w="349" w:type="pct"/>
            <w:vAlign w:val="center"/>
          </w:tcPr>
          <w:p w14:paraId="16E57E2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7D246E7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79AE80BA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77771945" w14:textId="77777777" w:rsidTr="005406F7">
        <w:trPr>
          <w:trHeight w:val="432"/>
        </w:trPr>
        <w:tc>
          <w:tcPr>
            <w:tcW w:w="3978" w:type="pct"/>
          </w:tcPr>
          <w:p w14:paraId="66DF94D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Наличен комплект за първа помощ (аптечка), зареден с медикаменти в срок на годност в обекта на разположение в близост до операторите на моторни триони и помощните работници.</w:t>
            </w:r>
          </w:p>
        </w:tc>
        <w:tc>
          <w:tcPr>
            <w:tcW w:w="349" w:type="pct"/>
            <w:vAlign w:val="center"/>
          </w:tcPr>
          <w:p w14:paraId="2A5E464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7DBA54B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70513BF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20973C24" w14:textId="77777777" w:rsidTr="005406F7">
        <w:trPr>
          <w:trHeight w:val="432"/>
        </w:trPr>
        <w:tc>
          <w:tcPr>
            <w:tcW w:w="3978" w:type="pct"/>
          </w:tcPr>
          <w:p w14:paraId="2F116D7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Наличен комплект за първа помощ (аптечка), зареден с медикаменти в срок на годност в горските машини и превозните средства на обекта.</w:t>
            </w:r>
          </w:p>
        </w:tc>
        <w:tc>
          <w:tcPr>
            <w:tcW w:w="349" w:type="pct"/>
            <w:vAlign w:val="center"/>
          </w:tcPr>
          <w:p w14:paraId="4AA162B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2C55FE2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7A04AE1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0FB9D7C6" w14:textId="77777777" w:rsidTr="005406F7">
        <w:trPr>
          <w:trHeight w:val="432"/>
        </w:trPr>
        <w:tc>
          <w:tcPr>
            <w:tcW w:w="3978" w:type="pct"/>
          </w:tcPr>
          <w:p w14:paraId="64EAE2C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Наличен годен пожарогасител в горските машини и превозните средства на обекта.</w:t>
            </w:r>
          </w:p>
        </w:tc>
        <w:tc>
          <w:tcPr>
            <w:tcW w:w="349" w:type="pct"/>
            <w:vAlign w:val="center"/>
          </w:tcPr>
          <w:p w14:paraId="2209F05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7256E8F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0B351D8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6A83129A" w14:textId="77777777" w:rsidTr="005406F7">
        <w:trPr>
          <w:trHeight w:val="432"/>
        </w:trPr>
        <w:tc>
          <w:tcPr>
            <w:tcW w:w="3978" w:type="pct"/>
          </w:tcPr>
          <w:p w14:paraId="67978EB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Наличност на зареден и работещ мобилен телефон </w:t>
            </w:r>
          </w:p>
        </w:tc>
        <w:tc>
          <w:tcPr>
            <w:tcW w:w="349" w:type="pct"/>
            <w:vAlign w:val="center"/>
          </w:tcPr>
          <w:p w14:paraId="3C4AB66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194488E7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7544C69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6F29FD07" w14:textId="77777777" w:rsidTr="005406F7">
        <w:trPr>
          <w:trHeight w:val="432"/>
        </w:trPr>
        <w:tc>
          <w:tcPr>
            <w:tcW w:w="3978" w:type="pct"/>
          </w:tcPr>
          <w:p w14:paraId="416D7B1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Наличност на питейна вода на обекта</w:t>
            </w:r>
          </w:p>
        </w:tc>
        <w:tc>
          <w:tcPr>
            <w:tcW w:w="349" w:type="pct"/>
            <w:vAlign w:val="center"/>
          </w:tcPr>
          <w:p w14:paraId="2017A60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464831E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5AAE637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0D73EF39" w14:textId="77777777" w:rsidTr="005406F7">
        <w:trPr>
          <w:trHeight w:val="432"/>
        </w:trPr>
        <w:tc>
          <w:tcPr>
            <w:tcW w:w="3978" w:type="pct"/>
          </w:tcPr>
          <w:p w14:paraId="38DCF5F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Използва се биологично разградимо масло за смазване на веригите на БМТ</w:t>
            </w:r>
          </w:p>
        </w:tc>
        <w:tc>
          <w:tcPr>
            <w:tcW w:w="349" w:type="pct"/>
            <w:vAlign w:val="center"/>
          </w:tcPr>
          <w:p w14:paraId="0FD511D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7C198040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не </w:t>
            </w:r>
          </w:p>
        </w:tc>
        <w:tc>
          <w:tcPr>
            <w:tcW w:w="336" w:type="pct"/>
            <w:vAlign w:val="center"/>
          </w:tcPr>
          <w:p w14:paraId="795A04B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74B50662" w14:textId="77777777" w:rsidTr="005406F7">
        <w:trPr>
          <w:trHeight w:val="432"/>
        </w:trPr>
        <w:tc>
          <w:tcPr>
            <w:tcW w:w="3978" w:type="pct"/>
          </w:tcPr>
          <w:p w14:paraId="33AD123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Наличие на течове и замърсявания от течове от горскостопанската техника </w:t>
            </w:r>
          </w:p>
        </w:tc>
        <w:tc>
          <w:tcPr>
            <w:tcW w:w="349" w:type="pct"/>
            <w:vAlign w:val="center"/>
          </w:tcPr>
          <w:p w14:paraId="11A147F0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7351883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19E4AC5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5082F580" w14:textId="77777777" w:rsidTr="005406F7">
        <w:trPr>
          <w:trHeight w:val="432"/>
        </w:trPr>
        <w:tc>
          <w:tcPr>
            <w:tcW w:w="3978" w:type="pct"/>
          </w:tcPr>
          <w:p w14:paraId="5FC2C9F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Наличен абсорбиращ комплект за попиване на разливи от горивосмазочни материали и други вещества в машините и превозните средства на обекта.</w:t>
            </w:r>
          </w:p>
        </w:tc>
        <w:tc>
          <w:tcPr>
            <w:tcW w:w="349" w:type="pct"/>
            <w:vAlign w:val="center"/>
          </w:tcPr>
          <w:p w14:paraId="4ECA3BE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3F69EC5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5D9C4EA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768413DF" w14:textId="77777777" w:rsidTr="005406F7">
        <w:trPr>
          <w:trHeight w:val="432"/>
        </w:trPr>
        <w:tc>
          <w:tcPr>
            <w:tcW w:w="3978" w:type="pct"/>
          </w:tcPr>
          <w:p w14:paraId="4B11013F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Наличен абсорбиращ комплект за горивосмазочни материали и други вещества на мястото за зареждане на моторните триони в обекта.</w:t>
            </w:r>
          </w:p>
        </w:tc>
        <w:tc>
          <w:tcPr>
            <w:tcW w:w="349" w:type="pct"/>
            <w:vAlign w:val="center"/>
          </w:tcPr>
          <w:p w14:paraId="6669AE3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7F4E70F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7F518C66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232B7063" w14:textId="77777777" w:rsidTr="005406F7">
        <w:trPr>
          <w:trHeight w:val="432"/>
        </w:trPr>
        <w:tc>
          <w:tcPr>
            <w:tcW w:w="3978" w:type="pct"/>
          </w:tcPr>
          <w:p w14:paraId="43FB44BA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Обособено място за събиране на битови отпадъци, опаковки и др. и спазване на изискванията за събиране на отпадъците.</w:t>
            </w:r>
          </w:p>
        </w:tc>
        <w:tc>
          <w:tcPr>
            <w:tcW w:w="349" w:type="pct"/>
            <w:vAlign w:val="center"/>
          </w:tcPr>
          <w:p w14:paraId="1988710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2264209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7643D410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</w:tbl>
    <w:p w14:paraId="54834222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4A8CE6B8" w14:textId="77777777" w:rsidR="005C521D" w:rsidRPr="00942F19" w:rsidRDefault="005C521D" w:rsidP="005C521D">
      <w:pPr>
        <w:spacing w:after="120"/>
        <w:ind w:left="714"/>
        <w:contextualSpacing/>
        <w:rPr>
          <w:rFonts w:ascii="Verdana" w:hAnsi="Verdana"/>
          <w:b/>
          <w:sz w:val="20"/>
          <w:szCs w:val="20"/>
        </w:rPr>
      </w:pPr>
    </w:p>
    <w:p w14:paraId="1A7C0EEB" w14:textId="77777777" w:rsidR="005C521D" w:rsidRPr="00942F19" w:rsidRDefault="005C521D" w:rsidP="005C521D">
      <w:pPr>
        <w:numPr>
          <w:ilvl w:val="0"/>
          <w:numId w:val="11"/>
        </w:numPr>
        <w:spacing w:after="120"/>
        <w:ind w:left="714" w:hanging="357"/>
        <w:contextualSpacing/>
        <w:jc w:val="both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Работни процедури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2"/>
        <w:gridCol w:w="728"/>
        <w:gridCol w:w="704"/>
        <w:gridCol w:w="788"/>
      </w:tblGrid>
      <w:tr w:rsidR="005C521D" w:rsidRPr="00942F19" w14:paraId="1C0DDD80" w14:textId="77777777" w:rsidTr="005406F7">
        <w:trPr>
          <w:trHeight w:val="324"/>
        </w:trPr>
        <w:tc>
          <w:tcPr>
            <w:tcW w:w="3978" w:type="pct"/>
          </w:tcPr>
          <w:p w14:paraId="2454FA5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Хоризонталното разстояние между секаческите групи е не по-малко от 100 м</w:t>
            </w:r>
          </w:p>
        </w:tc>
        <w:tc>
          <w:tcPr>
            <w:tcW w:w="349" w:type="pct"/>
            <w:vAlign w:val="center"/>
          </w:tcPr>
          <w:p w14:paraId="6B1441C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032B6FC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346B865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1A8CDFDE" w14:textId="77777777" w:rsidTr="005406F7">
        <w:trPr>
          <w:trHeight w:val="272"/>
        </w:trPr>
        <w:tc>
          <w:tcPr>
            <w:tcW w:w="3978" w:type="pct"/>
          </w:tcPr>
          <w:p w14:paraId="5AF747D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Използване на звуков сигнал преди поваляне на дърво</w:t>
            </w:r>
          </w:p>
        </w:tc>
        <w:tc>
          <w:tcPr>
            <w:tcW w:w="349" w:type="pct"/>
            <w:vAlign w:val="center"/>
          </w:tcPr>
          <w:p w14:paraId="5B8B38B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070B1D1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5067008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78782265" w14:textId="77777777" w:rsidTr="005406F7">
        <w:trPr>
          <w:trHeight w:val="432"/>
        </w:trPr>
        <w:tc>
          <w:tcPr>
            <w:tcW w:w="3978" w:type="pct"/>
          </w:tcPr>
          <w:p w14:paraId="2974F56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Спазват се техническите изисквания при поваляне на дърветата:</w:t>
            </w:r>
          </w:p>
          <w:p w14:paraId="06F85621" w14:textId="77777777" w:rsidR="005C521D" w:rsidRPr="00942F19" w:rsidRDefault="005C521D" w:rsidP="005406F7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b/>
                <w:sz w:val="20"/>
                <w:szCs w:val="20"/>
              </w:rPr>
              <w:t>1</w:t>
            </w:r>
            <w:r w:rsidRPr="00942F19">
              <w:rPr>
                <w:rFonts w:ascii="Verdana" w:hAnsi="Verdana"/>
                <w:sz w:val="20"/>
                <w:szCs w:val="20"/>
              </w:rPr>
              <w:t xml:space="preserve">. засек (1/4 до 1/3 (при гнили дървета до ½) от диаметъра в основата); </w:t>
            </w:r>
            <w:r w:rsidRPr="00942F19"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942F19">
              <w:rPr>
                <w:rFonts w:ascii="Verdana" w:hAnsi="Verdana"/>
                <w:sz w:val="20"/>
                <w:szCs w:val="20"/>
              </w:rPr>
              <w:t xml:space="preserve">. Хоризонтален основен ряз на височина 3-4 cm над хоризонталния ряз на засека; </w:t>
            </w:r>
            <w:r w:rsidRPr="00942F19">
              <w:rPr>
                <w:rFonts w:ascii="Verdana" w:hAnsi="Verdana"/>
                <w:b/>
                <w:sz w:val="20"/>
                <w:szCs w:val="20"/>
              </w:rPr>
              <w:t>3</w:t>
            </w:r>
            <w:r w:rsidRPr="00942F19">
              <w:rPr>
                <w:rFonts w:ascii="Verdana" w:hAnsi="Verdana"/>
                <w:sz w:val="20"/>
                <w:szCs w:val="20"/>
              </w:rPr>
              <w:t>. Наличие на предпазна ивица с ширина 2-3 cm при здрави и прави дървета и 4-5 cm при наклонени, сухи и гнили дървета.</w:t>
            </w:r>
          </w:p>
        </w:tc>
        <w:tc>
          <w:tcPr>
            <w:tcW w:w="349" w:type="pct"/>
            <w:vAlign w:val="center"/>
          </w:tcPr>
          <w:p w14:paraId="000CE950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0A5F53D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061F43C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6D059C58" w14:textId="77777777" w:rsidTr="005406F7">
        <w:trPr>
          <w:trHeight w:val="432"/>
        </w:trPr>
        <w:tc>
          <w:tcPr>
            <w:tcW w:w="3978" w:type="pct"/>
          </w:tcPr>
          <w:p w14:paraId="33CC6310" w14:textId="77777777" w:rsidR="005C521D" w:rsidRPr="00942F19" w:rsidRDefault="005C521D" w:rsidP="005406F7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 се оставят закачени или засечени, но неотрязани дървета преди да започне повалянето на следващото дърво, както и след завършване на работната смяна или по време на почивката.</w:t>
            </w:r>
          </w:p>
        </w:tc>
        <w:tc>
          <w:tcPr>
            <w:tcW w:w="349" w:type="pct"/>
            <w:vAlign w:val="center"/>
          </w:tcPr>
          <w:p w14:paraId="43013381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2021BBC6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492D6196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4C6EB15B" w14:textId="77777777" w:rsidTr="005406F7">
        <w:trPr>
          <w:trHeight w:val="432"/>
        </w:trPr>
        <w:tc>
          <w:tcPr>
            <w:tcW w:w="3978" w:type="pct"/>
          </w:tcPr>
          <w:p w14:paraId="0B4BC88B" w14:textId="77777777" w:rsidR="005C521D" w:rsidRPr="00942F19" w:rsidRDefault="005C521D" w:rsidP="005406F7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Събарянето на закачени дървета не се извършва чрез:</w:t>
            </w:r>
          </w:p>
          <w:p w14:paraId="7559379D" w14:textId="77777777" w:rsidR="005C521D" w:rsidRPr="00942F19" w:rsidRDefault="005C521D" w:rsidP="005406F7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1. отсичане на дървото, на което се държи закаченото дърво;</w:t>
            </w:r>
          </w:p>
          <w:p w14:paraId="7AB767EF" w14:textId="77777777" w:rsidR="005C521D" w:rsidRPr="00942F19" w:rsidRDefault="005C521D" w:rsidP="005406F7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2. отсичане на клоните, които държат закаченото дърво;</w:t>
            </w:r>
          </w:p>
          <w:p w14:paraId="691B3D39" w14:textId="77777777" w:rsidR="005C521D" w:rsidRPr="00942F19" w:rsidRDefault="005C521D" w:rsidP="005406F7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3. отрязване на части от стъблото на закаченото дърво;</w:t>
            </w:r>
          </w:p>
          <w:p w14:paraId="5508A838" w14:textId="77777777" w:rsidR="005C521D" w:rsidRPr="00942F19" w:rsidRDefault="005C521D" w:rsidP="005406F7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4. поваляне на друго дърво върху закаченото.</w:t>
            </w:r>
          </w:p>
        </w:tc>
        <w:tc>
          <w:tcPr>
            <w:tcW w:w="349" w:type="pct"/>
            <w:vAlign w:val="center"/>
          </w:tcPr>
          <w:p w14:paraId="482A577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1B6B4CE0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7E70E78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15A3C2A7" w14:textId="77777777" w:rsidTr="005406F7">
        <w:trPr>
          <w:trHeight w:val="256"/>
        </w:trPr>
        <w:tc>
          <w:tcPr>
            <w:tcW w:w="3978" w:type="pct"/>
          </w:tcPr>
          <w:p w14:paraId="4D96DA62" w14:textId="77777777" w:rsidR="005C521D" w:rsidRPr="00942F19" w:rsidRDefault="005C521D" w:rsidP="005406F7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Тракторите и самоходните машини не се паркират по склона.</w:t>
            </w:r>
          </w:p>
        </w:tc>
        <w:tc>
          <w:tcPr>
            <w:tcW w:w="349" w:type="pct"/>
            <w:vAlign w:val="center"/>
          </w:tcPr>
          <w:p w14:paraId="2F44B1C7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7964E067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2E01C9B4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38E53292" w14:textId="77777777" w:rsidTr="005406F7">
        <w:trPr>
          <w:trHeight w:val="256"/>
        </w:trPr>
        <w:tc>
          <w:tcPr>
            <w:tcW w:w="3978" w:type="pct"/>
          </w:tcPr>
          <w:p w14:paraId="466F465A" w14:textId="77777777" w:rsidR="005C521D" w:rsidRPr="00942F19" w:rsidRDefault="005C521D" w:rsidP="005406F7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Спазват се изискванията за ширината на просеките и разстоянията между тях при използване на въжени линии</w:t>
            </w:r>
          </w:p>
        </w:tc>
        <w:tc>
          <w:tcPr>
            <w:tcW w:w="349" w:type="pct"/>
            <w:vAlign w:val="center"/>
          </w:tcPr>
          <w:p w14:paraId="35EAC1B0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0A15525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6F054998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</w:tbl>
    <w:p w14:paraId="4BD1E9AC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4EFE5522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0E14D78A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509D88F9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469C8901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7E40CF50" w14:textId="77777777" w:rsidR="005C521D" w:rsidRPr="00942F19" w:rsidRDefault="005C521D" w:rsidP="005C521D">
      <w:pPr>
        <w:numPr>
          <w:ilvl w:val="0"/>
          <w:numId w:val="11"/>
        </w:numPr>
        <w:spacing w:after="120"/>
        <w:ind w:left="714" w:hanging="357"/>
        <w:contextualSpacing/>
        <w:jc w:val="both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lastRenderedPageBreak/>
        <w:t>Изисквания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2"/>
        <w:gridCol w:w="728"/>
        <w:gridCol w:w="704"/>
        <w:gridCol w:w="788"/>
      </w:tblGrid>
      <w:tr w:rsidR="005C521D" w:rsidRPr="00942F19" w14:paraId="3EB64EB8" w14:textId="77777777" w:rsidTr="005406F7">
        <w:trPr>
          <w:trHeight w:val="284"/>
        </w:trPr>
        <w:tc>
          <w:tcPr>
            <w:tcW w:w="3978" w:type="pct"/>
          </w:tcPr>
          <w:p w14:paraId="175E3C1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Спазват се предписанията в технологичния план и съответната документация</w:t>
            </w:r>
          </w:p>
        </w:tc>
        <w:tc>
          <w:tcPr>
            <w:tcW w:w="349" w:type="pct"/>
            <w:vAlign w:val="center"/>
          </w:tcPr>
          <w:p w14:paraId="15349E05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1E9EE0D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502536D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27B83EAA" w14:textId="77777777" w:rsidTr="005406F7">
        <w:trPr>
          <w:trHeight w:val="274"/>
        </w:trPr>
        <w:tc>
          <w:tcPr>
            <w:tcW w:w="3978" w:type="pct"/>
          </w:tcPr>
          <w:p w14:paraId="72F6B68B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Спазват се процедурите и изискванията за опазване на водни течения </w:t>
            </w:r>
          </w:p>
        </w:tc>
        <w:tc>
          <w:tcPr>
            <w:tcW w:w="349" w:type="pct"/>
            <w:vAlign w:val="center"/>
          </w:tcPr>
          <w:p w14:paraId="7DC5DA32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2A5098F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710A003E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03375601" w14:textId="77777777" w:rsidTr="005406F7">
        <w:trPr>
          <w:trHeight w:val="264"/>
        </w:trPr>
        <w:tc>
          <w:tcPr>
            <w:tcW w:w="3978" w:type="pct"/>
          </w:tcPr>
          <w:p w14:paraId="6248C836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Спазват се процедурите и изискванията за опазване на почвите и превенция на ерозията </w:t>
            </w:r>
          </w:p>
        </w:tc>
        <w:tc>
          <w:tcPr>
            <w:tcW w:w="349" w:type="pct"/>
            <w:vAlign w:val="center"/>
          </w:tcPr>
          <w:p w14:paraId="1D35B243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3004645F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338B548C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  <w:tr w:rsidR="005C521D" w:rsidRPr="00942F19" w14:paraId="49761A85" w14:textId="77777777" w:rsidTr="005406F7">
        <w:trPr>
          <w:trHeight w:val="432"/>
        </w:trPr>
        <w:tc>
          <w:tcPr>
            <w:tcW w:w="3978" w:type="pct"/>
          </w:tcPr>
          <w:p w14:paraId="7CEB215A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 xml:space="preserve">Спазват се мерките за защита на подраста и оставащите на корен дървета при сечта и извоза. </w:t>
            </w:r>
          </w:p>
        </w:tc>
        <w:tc>
          <w:tcPr>
            <w:tcW w:w="349" w:type="pct"/>
            <w:vAlign w:val="center"/>
          </w:tcPr>
          <w:p w14:paraId="636B745A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14:paraId="2C5B9ECD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14:paraId="51E7ECD9" w14:textId="77777777" w:rsidR="005C521D" w:rsidRPr="00942F19" w:rsidRDefault="005C521D" w:rsidP="005406F7">
            <w:pPr>
              <w:rPr>
                <w:rFonts w:ascii="Verdana" w:hAnsi="Verdana"/>
                <w:sz w:val="20"/>
                <w:szCs w:val="20"/>
              </w:rPr>
            </w:pPr>
            <w:r w:rsidRPr="00942F19">
              <w:rPr>
                <w:rFonts w:ascii="Verdana" w:hAnsi="Verdana"/>
                <w:sz w:val="20"/>
                <w:szCs w:val="20"/>
              </w:rPr>
              <w:t>непр.</w:t>
            </w:r>
          </w:p>
        </w:tc>
      </w:tr>
    </w:tbl>
    <w:p w14:paraId="52E44A6A" w14:textId="77777777" w:rsidR="005C521D" w:rsidRPr="00942F19" w:rsidRDefault="005C521D" w:rsidP="005C521D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14:paraId="1B07A624" w14:textId="77777777" w:rsidR="005C521D" w:rsidRPr="00942F19" w:rsidRDefault="005C521D" w:rsidP="005C521D">
      <w:pPr>
        <w:spacing w:after="120"/>
        <w:ind w:left="357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7. Забележки и предписания</w:t>
      </w:r>
    </w:p>
    <w:p w14:paraId="0F7D808F" w14:textId="77777777" w:rsidR="005C521D" w:rsidRPr="00942F19" w:rsidRDefault="005C521D" w:rsidP="005C521D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14:paraId="5CB99A61" w14:textId="77777777" w:rsidR="005C521D" w:rsidRPr="00942F19" w:rsidRDefault="005C521D" w:rsidP="005C521D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14:paraId="5764706D" w14:textId="77777777" w:rsidR="005C521D" w:rsidRPr="00942F19" w:rsidRDefault="005C521D" w:rsidP="005C521D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14:paraId="4339E2BC" w14:textId="77777777" w:rsidR="005C521D" w:rsidRPr="00942F19" w:rsidRDefault="005C521D" w:rsidP="005C521D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14:paraId="1EBC17AC" w14:textId="77777777" w:rsidR="005C521D" w:rsidRPr="00942F19" w:rsidRDefault="005C521D" w:rsidP="005C521D">
      <w:pPr>
        <w:spacing w:after="120"/>
        <w:ind w:left="357"/>
        <w:rPr>
          <w:rFonts w:ascii="Verdana" w:hAnsi="Verdana"/>
          <w:b/>
          <w:sz w:val="20"/>
          <w:szCs w:val="20"/>
        </w:rPr>
      </w:pPr>
    </w:p>
    <w:p w14:paraId="30E4DF00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Извършил проверката: …………………………………………………………………………………….</w:t>
      </w:r>
    </w:p>
    <w:p w14:paraId="574BE1B5" w14:textId="77777777" w:rsidR="005C521D" w:rsidRPr="00942F19" w:rsidRDefault="005C521D" w:rsidP="005C521D">
      <w:pPr>
        <w:ind w:left="2124" w:firstLine="708"/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/ име и фамилия, длъжност, подпис/</w:t>
      </w:r>
    </w:p>
    <w:p w14:paraId="151ECD60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p w14:paraId="59B98F93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Проверени:</w:t>
      </w:r>
    </w:p>
    <w:p w14:paraId="3EC5E0FB" w14:textId="77777777" w:rsidR="005C521D" w:rsidRPr="00942F19" w:rsidRDefault="005C521D" w:rsidP="005C521D">
      <w:pPr>
        <w:rPr>
          <w:rFonts w:ascii="Verdana" w:hAnsi="Verdan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3"/>
        <w:gridCol w:w="1641"/>
        <w:gridCol w:w="2258"/>
      </w:tblGrid>
      <w:tr w:rsidR="005C521D" w:rsidRPr="00942F19" w14:paraId="55CA8C31" w14:textId="77777777" w:rsidTr="005406F7">
        <w:tc>
          <w:tcPr>
            <w:tcW w:w="3187" w:type="pct"/>
            <w:shd w:val="clear" w:color="auto" w:fill="auto"/>
          </w:tcPr>
          <w:p w14:paraId="4854CA36" w14:textId="77777777" w:rsidR="005C521D" w:rsidRPr="00942F19" w:rsidRDefault="005C521D" w:rsidP="005406F7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r w:rsidRPr="00942F19">
              <w:rPr>
                <w:rFonts w:ascii="Verdana" w:eastAsia="Calibri" w:hAnsi="Verdana"/>
                <w:b/>
                <w:sz w:val="20"/>
                <w:szCs w:val="20"/>
              </w:rPr>
              <w:t>Име и фамилия, дейност</w:t>
            </w:r>
          </w:p>
        </w:tc>
        <w:tc>
          <w:tcPr>
            <w:tcW w:w="763" w:type="pct"/>
            <w:shd w:val="clear" w:color="auto" w:fill="auto"/>
          </w:tcPr>
          <w:p w14:paraId="77DE48F7" w14:textId="77777777" w:rsidR="005C521D" w:rsidRPr="00942F19" w:rsidRDefault="005C521D" w:rsidP="005406F7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r w:rsidRPr="00942F19">
              <w:rPr>
                <w:rFonts w:ascii="Verdana" w:eastAsia="Calibri" w:hAnsi="Verdana"/>
                <w:b/>
                <w:sz w:val="20"/>
                <w:szCs w:val="20"/>
              </w:rPr>
              <w:t>Подпис</w:t>
            </w:r>
          </w:p>
        </w:tc>
        <w:tc>
          <w:tcPr>
            <w:tcW w:w="1050" w:type="pct"/>
            <w:shd w:val="clear" w:color="auto" w:fill="auto"/>
          </w:tcPr>
          <w:p w14:paraId="25A21349" w14:textId="77777777" w:rsidR="005C521D" w:rsidRPr="00942F19" w:rsidRDefault="005C521D" w:rsidP="005406F7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r w:rsidRPr="00942F19">
              <w:rPr>
                <w:rFonts w:ascii="Verdana" w:eastAsia="Calibri" w:hAnsi="Verdana"/>
                <w:b/>
                <w:sz w:val="20"/>
                <w:szCs w:val="20"/>
              </w:rPr>
              <w:t>Забележка</w:t>
            </w:r>
          </w:p>
        </w:tc>
      </w:tr>
      <w:tr w:rsidR="005C521D" w:rsidRPr="00942F19" w14:paraId="5A09D7C9" w14:textId="77777777" w:rsidTr="005406F7">
        <w:tc>
          <w:tcPr>
            <w:tcW w:w="3187" w:type="pct"/>
            <w:shd w:val="clear" w:color="auto" w:fill="auto"/>
          </w:tcPr>
          <w:p w14:paraId="5671283D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4E219057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78AB2DD2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5C521D" w:rsidRPr="00942F19" w14:paraId="047503C4" w14:textId="77777777" w:rsidTr="005406F7">
        <w:tc>
          <w:tcPr>
            <w:tcW w:w="3187" w:type="pct"/>
            <w:shd w:val="clear" w:color="auto" w:fill="auto"/>
          </w:tcPr>
          <w:p w14:paraId="46A815A8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3953AD7E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5A337DFC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5C521D" w:rsidRPr="00942F19" w14:paraId="3752E89C" w14:textId="77777777" w:rsidTr="005406F7">
        <w:tc>
          <w:tcPr>
            <w:tcW w:w="3187" w:type="pct"/>
            <w:shd w:val="clear" w:color="auto" w:fill="auto"/>
          </w:tcPr>
          <w:p w14:paraId="181E3A2A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5AAA2D6E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4D9DBC70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5C521D" w:rsidRPr="00942F19" w14:paraId="59BEFCC4" w14:textId="77777777" w:rsidTr="005406F7">
        <w:tc>
          <w:tcPr>
            <w:tcW w:w="3187" w:type="pct"/>
            <w:shd w:val="clear" w:color="auto" w:fill="auto"/>
          </w:tcPr>
          <w:p w14:paraId="02B26CF0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1209D283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1DDD9C39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5C521D" w:rsidRPr="00942F19" w14:paraId="669B0B94" w14:textId="77777777" w:rsidTr="005406F7">
        <w:tc>
          <w:tcPr>
            <w:tcW w:w="3187" w:type="pct"/>
            <w:shd w:val="clear" w:color="auto" w:fill="auto"/>
          </w:tcPr>
          <w:p w14:paraId="0EF3BEAD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37E6B3A9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288738CE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5C521D" w:rsidRPr="00942F19" w14:paraId="2A0951D9" w14:textId="77777777" w:rsidTr="005406F7">
        <w:tc>
          <w:tcPr>
            <w:tcW w:w="3187" w:type="pct"/>
            <w:shd w:val="clear" w:color="auto" w:fill="auto"/>
          </w:tcPr>
          <w:p w14:paraId="65181750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68433D23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768D6930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5C521D" w:rsidRPr="00942F19" w14:paraId="15667F2E" w14:textId="77777777" w:rsidTr="005406F7">
        <w:tc>
          <w:tcPr>
            <w:tcW w:w="3187" w:type="pct"/>
            <w:shd w:val="clear" w:color="auto" w:fill="auto"/>
          </w:tcPr>
          <w:p w14:paraId="4295AB9A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02E50E83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286A69B8" w14:textId="77777777" w:rsidR="005C521D" w:rsidRPr="00942F19" w:rsidRDefault="005C521D" w:rsidP="005406F7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14:paraId="2A00DCB1" w14:textId="3A0B665E" w:rsidR="00017137" w:rsidRPr="00106523" w:rsidRDefault="00017137" w:rsidP="005C521D">
      <w:pPr>
        <w:spacing w:line="360" w:lineRule="auto"/>
        <w:rPr>
          <w:rFonts w:ascii="Verdana" w:hAnsi="Verdana"/>
          <w:sz w:val="20"/>
          <w:szCs w:val="20"/>
        </w:rPr>
      </w:pPr>
    </w:p>
    <w:sectPr w:rsidR="00017137" w:rsidRPr="00106523" w:rsidSect="000712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424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4A346" w14:textId="77777777" w:rsidR="00ED18C5" w:rsidRDefault="00ED18C5" w:rsidP="007D63FB">
      <w:r>
        <w:separator/>
      </w:r>
    </w:p>
  </w:endnote>
  <w:endnote w:type="continuationSeparator" w:id="0">
    <w:p w14:paraId="496ED792" w14:textId="77777777" w:rsidR="00ED18C5" w:rsidRDefault="00ED18C5" w:rsidP="007D6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25C8A" w14:textId="77777777" w:rsidR="00D514CB" w:rsidRDefault="00D514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2AF0C" w14:textId="2BEDFB13" w:rsidR="00DC028A" w:rsidRPr="00256C89" w:rsidRDefault="00DC028A" w:rsidP="00256C89">
    <w:pPr>
      <w:pStyle w:val="Footer"/>
      <w:jc w:val="center"/>
      <w:rPr>
        <w:rFonts w:ascii="Verdana" w:hAnsi="Verdana"/>
        <w:sz w:val="12"/>
        <w:szCs w:val="12"/>
      </w:rPr>
    </w:pPr>
    <w:r w:rsidRPr="00256C89">
      <w:rPr>
        <w:rFonts w:ascii="Verdana" w:hAnsi="Verdana"/>
        <w:sz w:val="12"/>
        <w:szCs w:val="12"/>
      </w:rPr>
      <w:t xml:space="preserve">Лист за проверка </w:t>
    </w:r>
    <w:r>
      <w:rPr>
        <w:rFonts w:ascii="Verdana" w:hAnsi="Verdana"/>
        <w:sz w:val="12"/>
        <w:szCs w:val="12"/>
      </w:rPr>
      <w:t xml:space="preserve">                              </w:t>
    </w:r>
    <w:r w:rsidRPr="00256C89">
      <w:rPr>
        <w:rFonts w:ascii="Verdana" w:hAnsi="Verdana"/>
        <w:sz w:val="12"/>
        <w:szCs w:val="12"/>
      </w:rPr>
      <w:t xml:space="preserve">                                                               </w:t>
    </w:r>
    <w:r>
      <w:rPr>
        <w:rFonts w:ascii="Verdana" w:hAnsi="Verdana"/>
        <w:sz w:val="12"/>
        <w:szCs w:val="12"/>
      </w:rPr>
      <w:t xml:space="preserve">                                    </w:t>
    </w:r>
    <w:r w:rsidRPr="00256C89">
      <w:rPr>
        <w:rFonts w:ascii="Verdana" w:hAnsi="Verdana"/>
        <w:sz w:val="12"/>
        <w:szCs w:val="12"/>
      </w:rPr>
      <w:t xml:space="preserve">                                                                          страница </w:t>
    </w:r>
    <w:r w:rsidRPr="00256C89">
      <w:rPr>
        <w:rFonts w:ascii="Verdana" w:hAnsi="Verdana"/>
        <w:sz w:val="12"/>
        <w:szCs w:val="12"/>
      </w:rPr>
      <w:fldChar w:fldCharType="begin"/>
    </w:r>
    <w:r w:rsidRPr="00256C89">
      <w:rPr>
        <w:rFonts w:ascii="Verdana" w:hAnsi="Verdana"/>
        <w:sz w:val="12"/>
        <w:szCs w:val="12"/>
      </w:rPr>
      <w:instrText>PAGE  \* Arabic  \* MERGEFORMAT</w:instrText>
    </w:r>
    <w:r w:rsidRPr="00256C89">
      <w:rPr>
        <w:rFonts w:ascii="Verdana" w:hAnsi="Verdana"/>
        <w:sz w:val="12"/>
        <w:szCs w:val="12"/>
      </w:rPr>
      <w:fldChar w:fldCharType="separate"/>
    </w:r>
    <w:r w:rsidR="0034708B">
      <w:rPr>
        <w:rFonts w:ascii="Verdana" w:hAnsi="Verdana"/>
        <w:noProof/>
        <w:sz w:val="12"/>
        <w:szCs w:val="12"/>
      </w:rPr>
      <w:t>1</w:t>
    </w:r>
    <w:r w:rsidRPr="00256C89">
      <w:rPr>
        <w:rFonts w:ascii="Verdana" w:hAnsi="Verdana"/>
        <w:sz w:val="12"/>
        <w:szCs w:val="12"/>
      </w:rPr>
      <w:fldChar w:fldCharType="end"/>
    </w:r>
    <w:r w:rsidRPr="00256C89">
      <w:rPr>
        <w:rFonts w:ascii="Verdana" w:hAnsi="Verdana"/>
        <w:sz w:val="12"/>
        <w:szCs w:val="12"/>
      </w:rPr>
      <w:t xml:space="preserve"> от </w:t>
    </w:r>
    <w:r w:rsidRPr="00256C89">
      <w:rPr>
        <w:rFonts w:ascii="Verdana" w:hAnsi="Verdana"/>
        <w:sz w:val="12"/>
        <w:szCs w:val="12"/>
      </w:rPr>
      <w:fldChar w:fldCharType="begin"/>
    </w:r>
    <w:r w:rsidRPr="00256C89">
      <w:rPr>
        <w:rFonts w:ascii="Verdana" w:hAnsi="Verdana"/>
        <w:sz w:val="12"/>
        <w:szCs w:val="12"/>
      </w:rPr>
      <w:instrText>NUMPAGES  \* Arabic  \* MERGEFORMAT</w:instrText>
    </w:r>
    <w:r w:rsidRPr="00256C89">
      <w:rPr>
        <w:rFonts w:ascii="Verdana" w:hAnsi="Verdana"/>
        <w:sz w:val="12"/>
        <w:szCs w:val="12"/>
      </w:rPr>
      <w:fldChar w:fldCharType="separate"/>
    </w:r>
    <w:r w:rsidR="0034708B">
      <w:rPr>
        <w:rFonts w:ascii="Verdana" w:hAnsi="Verdana"/>
        <w:noProof/>
        <w:sz w:val="12"/>
        <w:szCs w:val="12"/>
      </w:rPr>
      <w:t>3</w:t>
    </w:r>
    <w:r w:rsidRPr="00256C89">
      <w:rPr>
        <w:rFonts w:ascii="Verdana" w:hAnsi="Verdana"/>
        <w:sz w:val="12"/>
        <w:szCs w:val="12"/>
      </w:rPr>
      <w:fldChar w:fldCharType="end"/>
    </w:r>
  </w:p>
  <w:p w14:paraId="24CC60E1" w14:textId="77777777" w:rsidR="00DC028A" w:rsidRDefault="00DC02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3BF4E" w14:textId="77777777" w:rsidR="00D514CB" w:rsidRDefault="00D514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19579" w14:textId="77777777" w:rsidR="00ED18C5" w:rsidRDefault="00ED18C5" w:rsidP="007D63FB">
      <w:r>
        <w:separator/>
      </w:r>
    </w:p>
  </w:footnote>
  <w:footnote w:type="continuationSeparator" w:id="0">
    <w:p w14:paraId="3A792C1F" w14:textId="77777777" w:rsidR="00ED18C5" w:rsidRDefault="00ED18C5" w:rsidP="007D6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61F0A" w14:textId="03CF1B49" w:rsidR="00DC028A" w:rsidRDefault="00ED18C5">
    <w:pPr>
      <w:pStyle w:val="Header"/>
    </w:pPr>
    <w:r>
      <w:rPr>
        <w:noProof/>
      </w:rPr>
      <w:pict w14:anchorId="2C884B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63485" o:spid="_x0000_s2050" type="#_x0000_t136" style="position:absolute;margin-left:0;margin-top:0;width:641.9pt;height:116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BE72F" w14:textId="15B939A5" w:rsidR="00DC028A" w:rsidRDefault="00ED18C5">
    <w:pPr>
      <w:pStyle w:val="Header"/>
    </w:pPr>
    <w:r>
      <w:rPr>
        <w:noProof/>
      </w:rPr>
      <w:pict w14:anchorId="030299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63486" o:spid="_x0000_s2051" type="#_x0000_t136" style="position:absolute;margin-left:0;margin-top:0;width:641.9pt;height:116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2F249" w14:textId="7B779277" w:rsidR="00DC028A" w:rsidRDefault="00ED18C5">
    <w:pPr>
      <w:pStyle w:val="Header"/>
    </w:pPr>
    <w:r>
      <w:rPr>
        <w:noProof/>
      </w:rPr>
      <w:pict w14:anchorId="3F92BD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63484" o:spid="_x0000_s2049" type="#_x0000_t136" style="position:absolute;margin-left:0;margin-top:0;width:641.9pt;height:116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0741F"/>
    <w:multiLevelType w:val="hybridMultilevel"/>
    <w:tmpl w:val="43A0A32C"/>
    <w:lvl w:ilvl="0" w:tplc="BB6487E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F05B0A"/>
    <w:multiLevelType w:val="hybridMultilevel"/>
    <w:tmpl w:val="D4AEA098"/>
    <w:lvl w:ilvl="0" w:tplc="0409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4" w15:restartNumberingAfterBreak="0">
    <w:nsid w:val="316B014C"/>
    <w:multiLevelType w:val="hybridMultilevel"/>
    <w:tmpl w:val="B9D47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844EB"/>
    <w:multiLevelType w:val="hybridMultilevel"/>
    <w:tmpl w:val="2D300ED4"/>
    <w:lvl w:ilvl="0" w:tplc="CDFCBE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B750890"/>
    <w:multiLevelType w:val="hybridMultilevel"/>
    <w:tmpl w:val="76E21CC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25C6B4F"/>
    <w:multiLevelType w:val="hybridMultilevel"/>
    <w:tmpl w:val="D0ECA6D8"/>
    <w:lvl w:ilvl="0" w:tplc="32901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9B31FE"/>
    <w:multiLevelType w:val="hybridMultilevel"/>
    <w:tmpl w:val="2D300ED4"/>
    <w:lvl w:ilvl="0" w:tplc="CDFCBE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3A08DE"/>
    <w:multiLevelType w:val="hybridMultilevel"/>
    <w:tmpl w:val="314A2ACE"/>
    <w:lvl w:ilvl="0" w:tplc="27BE2E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27CD8"/>
    <w:multiLevelType w:val="hybridMultilevel"/>
    <w:tmpl w:val="85E8B0D0"/>
    <w:lvl w:ilvl="0" w:tplc="CDFCBE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9"/>
  </w:num>
  <w:num w:numId="5">
    <w:abstractNumId w:val="3"/>
  </w:num>
  <w:num w:numId="6">
    <w:abstractNumId w:val="7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5BB"/>
    <w:rsid w:val="000018C5"/>
    <w:rsid w:val="00015E40"/>
    <w:rsid w:val="00017137"/>
    <w:rsid w:val="00022537"/>
    <w:rsid w:val="000245EC"/>
    <w:rsid w:val="00033AD4"/>
    <w:rsid w:val="00035782"/>
    <w:rsid w:val="000540C0"/>
    <w:rsid w:val="00071253"/>
    <w:rsid w:val="00084584"/>
    <w:rsid w:val="000A1B0D"/>
    <w:rsid w:val="000A4C71"/>
    <w:rsid w:val="000B2FC9"/>
    <w:rsid w:val="000C49DA"/>
    <w:rsid w:val="000D09F5"/>
    <w:rsid w:val="000D2A87"/>
    <w:rsid w:val="000D69F7"/>
    <w:rsid w:val="000E3FC9"/>
    <w:rsid w:val="00106523"/>
    <w:rsid w:val="00143F99"/>
    <w:rsid w:val="001666AE"/>
    <w:rsid w:val="0016762E"/>
    <w:rsid w:val="00184E04"/>
    <w:rsid w:val="00185D9E"/>
    <w:rsid w:val="001876FE"/>
    <w:rsid w:val="001A5A5C"/>
    <w:rsid w:val="001A6261"/>
    <w:rsid w:val="001E0600"/>
    <w:rsid w:val="001F0507"/>
    <w:rsid w:val="001F5C3C"/>
    <w:rsid w:val="00256C89"/>
    <w:rsid w:val="0025708B"/>
    <w:rsid w:val="0027557E"/>
    <w:rsid w:val="002765BB"/>
    <w:rsid w:val="0028768A"/>
    <w:rsid w:val="002E3877"/>
    <w:rsid w:val="002F1D3C"/>
    <w:rsid w:val="003151DC"/>
    <w:rsid w:val="003201B0"/>
    <w:rsid w:val="0034708B"/>
    <w:rsid w:val="0036007A"/>
    <w:rsid w:val="00365F5E"/>
    <w:rsid w:val="00374ABF"/>
    <w:rsid w:val="00384780"/>
    <w:rsid w:val="00385723"/>
    <w:rsid w:val="00391DCD"/>
    <w:rsid w:val="003C5AB4"/>
    <w:rsid w:val="003C7352"/>
    <w:rsid w:val="003E1376"/>
    <w:rsid w:val="003E3293"/>
    <w:rsid w:val="00417E93"/>
    <w:rsid w:val="00425581"/>
    <w:rsid w:val="004427AB"/>
    <w:rsid w:val="00477BAD"/>
    <w:rsid w:val="00493520"/>
    <w:rsid w:val="004A0B91"/>
    <w:rsid w:val="004A1DD3"/>
    <w:rsid w:val="004D7808"/>
    <w:rsid w:val="004E3B4F"/>
    <w:rsid w:val="004F326E"/>
    <w:rsid w:val="00520AAB"/>
    <w:rsid w:val="00572597"/>
    <w:rsid w:val="00573662"/>
    <w:rsid w:val="0057648F"/>
    <w:rsid w:val="00581950"/>
    <w:rsid w:val="005B3F4B"/>
    <w:rsid w:val="005C521D"/>
    <w:rsid w:val="005E2BA9"/>
    <w:rsid w:val="00604B74"/>
    <w:rsid w:val="00617AF0"/>
    <w:rsid w:val="0062110A"/>
    <w:rsid w:val="00633D39"/>
    <w:rsid w:val="0063718D"/>
    <w:rsid w:val="006560F6"/>
    <w:rsid w:val="0067311B"/>
    <w:rsid w:val="006761C9"/>
    <w:rsid w:val="00686EE4"/>
    <w:rsid w:val="00695877"/>
    <w:rsid w:val="006A2EE2"/>
    <w:rsid w:val="006C0F55"/>
    <w:rsid w:val="006D44E5"/>
    <w:rsid w:val="006E6DCB"/>
    <w:rsid w:val="006F09BE"/>
    <w:rsid w:val="0070132F"/>
    <w:rsid w:val="007029F6"/>
    <w:rsid w:val="00702DD6"/>
    <w:rsid w:val="00717467"/>
    <w:rsid w:val="00736DD8"/>
    <w:rsid w:val="00760EE8"/>
    <w:rsid w:val="00775DEC"/>
    <w:rsid w:val="00776CFA"/>
    <w:rsid w:val="00777671"/>
    <w:rsid w:val="00780CA3"/>
    <w:rsid w:val="007869E0"/>
    <w:rsid w:val="007922CD"/>
    <w:rsid w:val="007D2D0F"/>
    <w:rsid w:val="007D63FB"/>
    <w:rsid w:val="007E2ABA"/>
    <w:rsid w:val="007E42BC"/>
    <w:rsid w:val="007E64D1"/>
    <w:rsid w:val="007F62A4"/>
    <w:rsid w:val="00826ED6"/>
    <w:rsid w:val="00834EB8"/>
    <w:rsid w:val="00866F73"/>
    <w:rsid w:val="00872F1B"/>
    <w:rsid w:val="008A1661"/>
    <w:rsid w:val="008A6E93"/>
    <w:rsid w:val="008B1A16"/>
    <w:rsid w:val="008C704D"/>
    <w:rsid w:val="008D2C05"/>
    <w:rsid w:val="008D3137"/>
    <w:rsid w:val="008E1D66"/>
    <w:rsid w:val="008F43B3"/>
    <w:rsid w:val="00905964"/>
    <w:rsid w:val="009311FF"/>
    <w:rsid w:val="0094390D"/>
    <w:rsid w:val="00962FD9"/>
    <w:rsid w:val="009A4672"/>
    <w:rsid w:val="00A12C40"/>
    <w:rsid w:val="00A34099"/>
    <w:rsid w:val="00A34A20"/>
    <w:rsid w:val="00A369DF"/>
    <w:rsid w:val="00A53CE8"/>
    <w:rsid w:val="00A91D54"/>
    <w:rsid w:val="00A922E5"/>
    <w:rsid w:val="00AA0B7B"/>
    <w:rsid w:val="00AB5939"/>
    <w:rsid w:val="00AB6576"/>
    <w:rsid w:val="00AC28FF"/>
    <w:rsid w:val="00AE6CBA"/>
    <w:rsid w:val="00AF0010"/>
    <w:rsid w:val="00B3200A"/>
    <w:rsid w:val="00B41A44"/>
    <w:rsid w:val="00B64B4E"/>
    <w:rsid w:val="00B75A70"/>
    <w:rsid w:val="00BB33CC"/>
    <w:rsid w:val="00BC2EC3"/>
    <w:rsid w:val="00BD4CBA"/>
    <w:rsid w:val="00BF6947"/>
    <w:rsid w:val="00C43A30"/>
    <w:rsid w:val="00C76897"/>
    <w:rsid w:val="00C76F26"/>
    <w:rsid w:val="00CA634E"/>
    <w:rsid w:val="00CC6439"/>
    <w:rsid w:val="00D06DB6"/>
    <w:rsid w:val="00D31A43"/>
    <w:rsid w:val="00D45D2F"/>
    <w:rsid w:val="00D514CB"/>
    <w:rsid w:val="00D517B0"/>
    <w:rsid w:val="00D51850"/>
    <w:rsid w:val="00D75744"/>
    <w:rsid w:val="00D901E2"/>
    <w:rsid w:val="00D91E35"/>
    <w:rsid w:val="00DB76FA"/>
    <w:rsid w:val="00DC028A"/>
    <w:rsid w:val="00DD432D"/>
    <w:rsid w:val="00DE2487"/>
    <w:rsid w:val="00DE5F44"/>
    <w:rsid w:val="00DF79D6"/>
    <w:rsid w:val="00E01AC5"/>
    <w:rsid w:val="00E31825"/>
    <w:rsid w:val="00E4383F"/>
    <w:rsid w:val="00E470CD"/>
    <w:rsid w:val="00E51841"/>
    <w:rsid w:val="00E540C5"/>
    <w:rsid w:val="00E87FB2"/>
    <w:rsid w:val="00EC68B2"/>
    <w:rsid w:val="00ED18C5"/>
    <w:rsid w:val="00ED3617"/>
    <w:rsid w:val="00EF5802"/>
    <w:rsid w:val="00F10CEF"/>
    <w:rsid w:val="00F23867"/>
    <w:rsid w:val="00F42F7D"/>
    <w:rsid w:val="00F56FB0"/>
    <w:rsid w:val="00F64505"/>
    <w:rsid w:val="00F84CBC"/>
    <w:rsid w:val="00F92376"/>
    <w:rsid w:val="00F97E5A"/>
    <w:rsid w:val="00FB7FF4"/>
    <w:rsid w:val="00FD55FA"/>
    <w:rsid w:val="00FE772F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C89FA60"/>
  <w15:docId w15:val="{CBF9C918-814A-4F5C-B4C3-B393D480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5BB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1A16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D44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593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C5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63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3F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D63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3F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TitleChar">
    <w:name w:val="Title Char"/>
    <w:link w:val="Title"/>
    <w:locked/>
    <w:rsid w:val="00017137"/>
    <w:rPr>
      <w:b/>
      <w:bCs/>
      <w:sz w:val="32"/>
      <w:szCs w:val="24"/>
      <w:lang w:eastAsia="ar-SA"/>
    </w:rPr>
  </w:style>
  <w:style w:type="paragraph" w:styleId="Title">
    <w:name w:val="Title"/>
    <w:basedOn w:val="Normal"/>
    <w:next w:val="Subtitle"/>
    <w:link w:val="TitleChar"/>
    <w:qFormat/>
    <w:rsid w:val="00017137"/>
    <w:pPr>
      <w:suppressAutoHyphens/>
      <w:jc w:val="center"/>
    </w:pPr>
    <w:rPr>
      <w:rFonts w:asciiTheme="minorHAnsi" w:eastAsiaTheme="minorHAnsi" w:hAnsiTheme="minorHAnsi" w:cstheme="minorBidi"/>
      <w:b/>
      <w:bCs/>
      <w:sz w:val="32"/>
      <w:lang w:eastAsia="ar-SA"/>
    </w:rPr>
  </w:style>
  <w:style w:type="character" w:customStyle="1" w:styleId="1">
    <w:name w:val="Заглавие Знак1"/>
    <w:basedOn w:val="DefaultParagraphFont"/>
    <w:uiPriority w:val="10"/>
    <w:rsid w:val="00017137"/>
    <w:rPr>
      <w:rFonts w:asciiTheme="majorHAnsi" w:eastAsiaTheme="majorEastAsia" w:hAnsiTheme="majorHAnsi" w:cstheme="majorBidi"/>
      <w:spacing w:val="-10"/>
      <w:kern w:val="28"/>
      <w:sz w:val="56"/>
      <w:szCs w:val="56"/>
      <w:lang w:eastAsia="bg-BG"/>
    </w:rPr>
  </w:style>
  <w:style w:type="paragraph" w:customStyle="1" w:styleId="CharChar5CharChar">
    <w:name w:val="Char Char5 Char Char"/>
    <w:basedOn w:val="Normal"/>
    <w:rsid w:val="00017137"/>
    <w:pPr>
      <w:tabs>
        <w:tab w:val="left" w:pos="709"/>
      </w:tabs>
    </w:pPr>
    <w:rPr>
      <w:lang w:val="en-US" w:eastAsia="pl-PL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713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17137"/>
    <w:rPr>
      <w:rFonts w:eastAsiaTheme="minorEastAsia"/>
      <w:color w:val="5A5A5A" w:themeColor="text1" w:themeTint="A5"/>
      <w:spacing w:val="15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C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1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Dobi</dc:creator>
  <cp:lastModifiedBy>Dell</cp:lastModifiedBy>
  <cp:revision>3</cp:revision>
  <cp:lastPrinted>2019-10-11T10:33:00Z</cp:lastPrinted>
  <dcterms:created xsi:type="dcterms:W3CDTF">2024-12-11T12:48:00Z</dcterms:created>
  <dcterms:modified xsi:type="dcterms:W3CDTF">2024-12-11T12:48:00Z</dcterms:modified>
</cp:coreProperties>
</file>